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СИСТЕМА ЗА ОПРЕДЕЛЯНЕ НА РЕЗУЛТАТИТЕ ОТ КОНКУРСА ЗА</w:t>
      </w:r>
    </w:p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 xml:space="preserve">ДЛЪЖНОСТТА </w:t>
      </w:r>
      <w:r w:rsidRPr="00CF7939">
        <w:rPr>
          <w:rFonts w:ascii="Times New Roman" w:eastAsia="Times New Roman" w:hAnsi="Times New Roman"/>
          <w:b/>
          <w:sz w:val="24"/>
          <w:szCs w:val="24"/>
        </w:rPr>
        <w:t>„МЛАДШИ ЕКСПЕРТ“ В ОТДЕЛ „</w:t>
      </w:r>
      <w:r w:rsidR="003B56F9">
        <w:rPr>
          <w:rFonts w:ascii="Times New Roman" w:eastAsia="Times New Roman" w:hAnsi="Times New Roman"/>
          <w:b/>
          <w:sz w:val="24"/>
          <w:szCs w:val="24"/>
        </w:rPr>
        <w:t>РАЗРЕШИТЕЛНИ И РЕГИСТРИ</w:t>
      </w:r>
      <w:r w:rsidRPr="00CF7939">
        <w:rPr>
          <w:rFonts w:ascii="Times New Roman" w:eastAsia="Times New Roman" w:hAnsi="Times New Roman"/>
          <w:b/>
          <w:sz w:val="24"/>
          <w:szCs w:val="24"/>
        </w:rPr>
        <w:t>“, ДИРЕКЦИЯ “ПЛАНОВЕ И</w:t>
      </w:r>
      <w:r w:rsidR="003B56F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F7939">
        <w:rPr>
          <w:rFonts w:ascii="Times New Roman" w:eastAsia="Times New Roman" w:hAnsi="Times New Roman"/>
          <w:b/>
          <w:sz w:val="24"/>
          <w:szCs w:val="24"/>
        </w:rPr>
        <w:t>РАЗРЕШИТЕЛНИ” С МЯСТО НА РАБОТА В ГР. ПЛЕВЕН:</w:t>
      </w:r>
    </w:p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</w:p>
    <w:p w:rsidR="00CF7939" w:rsidRPr="00CF7939" w:rsidRDefault="00CF7939" w:rsidP="00CF7939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21 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15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 w:rsidR="0040781E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 w:rsidR="0040781E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Резултатът от интервюто се умножава с коефициент „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Окончателният резултат на всеки кандидат е сбор от резултатите, получени от теста и интервюто, умножени по съответните коефициенти (3 и 4).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 Провеждане на първата част от конкурса-решаване на тест – 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="003B56F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8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02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.202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6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 г.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.30 часа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CF7939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Pr="00CF7939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CF7939">
        <w:rPr>
          <w:rFonts w:ascii="Times New Roman" w:eastAsia="Times New Roman" w:hAnsi="Times New Roman"/>
          <w:b/>
          <w:sz w:val="24"/>
          <w:szCs w:val="24"/>
        </w:rPr>
        <w:t xml:space="preserve">.30 часа </w:t>
      </w:r>
      <w:r w:rsidRPr="00CF7939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CF7939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CF793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CF7939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CF7939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4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 w:rsidR="003B56F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18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02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6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г.</w:t>
      </w:r>
    </w:p>
    <w:p w:rsidR="00CF7939" w:rsidRPr="003B5026" w:rsidRDefault="00CF7939" w:rsidP="00CF7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CF7939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F7939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B5026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CF7939" w:rsidRPr="00CF7939" w:rsidRDefault="00CF7939" w:rsidP="00CF7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7939" w:rsidRPr="00CF7939" w:rsidRDefault="003B56F9" w:rsidP="00CF7939">
      <w:pPr>
        <w:spacing w:after="0" w:line="240" w:lineRule="auto"/>
        <w:ind w:left="3600" w:firstLine="64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Галя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Ангелова</w:t>
      </w:r>
      <w:proofErr w:type="spellEnd"/>
    </w:p>
    <w:sectPr w:rsidR="00CF7939" w:rsidRPr="00CF7939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9A" w:rsidRDefault="00DC649A" w:rsidP="00A201E4">
      <w:pPr>
        <w:spacing w:after="0" w:line="240" w:lineRule="auto"/>
      </w:pPr>
      <w:r>
        <w:separator/>
      </w:r>
    </w:p>
  </w:endnote>
  <w:endnote w:type="continuationSeparator" w:id="0">
    <w:p w:rsidR="00DC649A" w:rsidRDefault="00DC649A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3B5026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0781E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3B5026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9A" w:rsidRDefault="00DC649A" w:rsidP="00A201E4">
      <w:pPr>
        <w:spacing w:after="0" w:line="240" w:lineRule="auto"/>
      </w:pPr>
      <w:r>
        <w:separator/>
      </w:r>
    </w:p>
  </w:footnote>
  <w:footnote w:type="continuationSeparator" w:id="0">
    <w:p w:rsidR="00DC649A" w:rsidRDefault="00DC649A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5A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 xml:space="preserve">Република България </w:t>
    </w:r>
  </w:p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 xml:space="preserve">Министерство на околната среда и водите </w:t>
    </w:r>
  </w:p>
  <w:p w:rsidR="00A201E4" w:rsidRPr="00A201E4" w:rsidRDefault="00A201E4" w:rsidP="00027B96">
    <w:pPr>
      <w:pStyle w:val="a3"/>
      <w:spacing w:before="180" w:after="180"/>
      <w:ind w:firstLine="1259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FAB"/>
    <w:multiLevelType w:val="multilevel"/>
    <w:tmpl w:val="BF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0FA1"/>
    <w:multiLevelType w:val="hybridMultilevel"/>
    <w:tmpl w:val="4A24C024"/>
    <w:lvl w:ilvl="0" w:tplc="016ABD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F70D9F"/>
    <w:multiLevelType w:val="hybridMultilevel"/>
    <w:tmpl w:val="0E0C687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4578AF"/>
    <w:multiLevelType w:val="hybridMultilevel"/>
    <w:tmpl w:val="EA14B5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5CB67E1"/>
    <w:multiLevelType w:val="hybridMultilevel"/>
    <w:tmpl w:val="D726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10BB"/>
    <w:multiLevelType w:val="hybridMultilevel"/>
    <w:tmpl w:val="564AE57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C0169"/>
    <w:multiLevelType w:val="hybridMultilevel"/>
    <w:tmpl w:val="82242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352D"/>
    <w:multiLevelType w:val="hybridMultilevel"/>
    <w:tmpl w:val="1F6604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90B46"/>
    <w:multiLevelType w:val="hybridMultilevel"/>
    <w:tmpl w:val="3A32E7B8"/>
    <w:lvl w:ilvl="0" w:tplc="C44C1B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9"/>
  </w:num>
  <w:num w:numId="8">
    <w:abstractNumId w:val="15"/>
  </w:num>
  <w:num w:numId="9">
    <w:abstractNumId w:val="3"/>
  </w:num>
  <w:num w:numId="10">
    <w:abstractNumId w:val="17"/>
  </w:num>
  <w:num w:numId="11">
    <w:abstractNumId w:val="13"/>
  </w:num>
  <w:num w:numId="12">
    <w:abstractNumId w:val="8"/>
  </w:num>
  <w:num w:numId="13">
    <w:abstractNumId w:val="16"/>
  </w:num>
  <w:num w:numId="14">
    <w:abstractNumId w:val="7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7B96"/>
    <w:rsid w:val="00041F5B"/>
    <w:rsid w:val="0009386E"/>
    <w:rsid w:val="00143671"/>
    <w:rsid w:val="00152E88"/>
    <w:rsid w:val="001B5599"/>
    <w:rsid w:val="00270E62"/>
    <w:rsid w:val="002C50BC"/>
    <w:rsid w:val="003528BC"/>
    <w:rsid w:val="003B5026"/>
    <w:rsid w:val="003B56F9"/>
    <w:rsid w:val="003C5B74"/>
    <w:rsid w:val="003D6657"/>
    <w:rsid w:val="0040781E"/>
    <w:rsid w:val="004352F9"/>
    <w:rsid w:val="00464954"/>
    <w:rsid w:val="004B6FFF"/>
    <w:rsid w:val="004B793D"/>
    <w:rsid w:val="004D6BEF"/>
    <w:rsid w:val="005468D1"/>
    <w:rsid w:val="005A2F81"/>
    <w:rsid w:val="005B5567"/>
    <w:rsid w:val="005C1729"/>
    <w:rsid w:val="006F756D"/>
    <w:rsid w:val="00722C77"/>
    <w:rsid w:val="007424AD"/>
    <w:rsid w:val="00755316"/>
    <w:rsid w:val="00776FBA"/>
    <w:rsid w:val="0082695B"/>
    <w:rsid w:val="008759E2"/>
    <w:rsid w:val="00900DB3"/>
    <w:rsid w:val="009149B8"/>
    <w:rsid w:val="0092260D"/>
    <w:rsid w:val="00963AE7"/>
    <w:rsid w:val="00965A5A"/>
    <w:rsid w:val="00970456"/>
    <w:rsid w:val="009A15DE"/>
    <w:rsid w:val="009B22BD"/>
    <w:rsid w:val="009E664E"/>
    <w:rsid w:val="00A201E4"/>
    <w:rsid w:val="00A53DA9"/>
    <w:rsid w:val="00AC73AA"/>
    <w:rsid w:val="00AF062B"/>
    <w:rsid w:val="00BA69EA"/>
    <w:rsid w:val="00BC5086"/>
    <w:rsid w:val="00C016D0"/>
    <w:rsid w:val="00C17BFA"/>
    <w:rsid w:val="00C436A3"/>
    <w:rsid w:val="00CF4200"/>
    <w:rsid w:val="00CF7939"/>
    <w:rsid w:val="00D954F3"/>
    <w:rsid w:val="00DC0B8A"/>
    <w:rsid w:val="00DC649A"/>
    <w:rsid w:val="00DF6FE4"/>
    <w:rsid w:val="00E21941"/>
    <w:rsid w:val="00EF43EF"/>
    <w:rsid w:val="00EF5231"/>
    <w:rsid w:val="00F131CE"/>
    <w:rsid w:val="00F14589"/>
    <w:rsid w:val="00F6677F"/>
    <w:rsid w:val="00F81B1B"/>
    <w:rsid w:val="00F976D5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F09D7F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2107-54EE-4095-B468-52C32751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2025-10-17T12:25:00Z</cp:lastPrinted>
  <dcterms:created xsi:type="dcterms:W3CDTF">2026-02-10T10:31:00Z</dcterms:created>
  <dcterms:modified xsi:type="dcterms:W3CDTF">2026-02-10T10:40:00Z</dcterms:modified>
</cp:coreProperties>
</file>