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E377DF">
        <w:rPr>
          <w:rFonts w:ascii="Times New Roman" w:eastAsia="Times New Roman" w:hAnsi="Times New Roman"/>
          <w:b/>
          <w:sz w:val="24"/>
          <w:szCs w:val="24"/>
        </w:rPr>
        <w:t>СПИСЪК  НА ДОПУСНАТИТЕ ДО ИНТЕРВЮ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b/>
          <w:sz w:val="24"/>
          <w:szCs w:val="24"/>
          <w:lang w:val="en-US"/>
        </w:rPr>
        <w:t>КАНДИДАТИ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760453" w:rsidRDefault="00760453" w:rsidP="007604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На 20.</w:t>
      </w:r>
      <w:r>
        <w:rPr>
          <w:rFonts w:ascii="Times New Roman" w:eastAsia="Times New Roman" w:hAnsi="Times New Roman"/>
          <w:sz w:val="24"/>
          <w:szCs w:val="24"/>
          <w:lang w:val="en-US"/>
        </w:rPr>
        <w:t>0</w:t>
      </w:r>
      <w:r>
        <w:rPr>
          <w:rFonts w:ascii="Times New Roman" w:eastAsia="Times New Roman" w:hAnsi="Times New Roman"/>
          <w:sz w:val="24"/>
          <w:szCs w:val="24"/>
        </w:rPr>
        <w:t>2.20</w:t>
      </w:r>
      <w:r>
        <w:rPr>
          <w:rFonts w:ascii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6 год. след проведен конкурс за държавни служители конкурсната комисията при оценяването на теста констатира следните резултати на кандидатите за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длъжността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„младши експерт“ </w:t>
      </w:r>
      <w:r>
        <w:rPr>
          <w:rFonts w:ascii="Times New Roman" w:eastAsia="Times New Roman" w:hAnsi="Times New Roman"/>
          <w:sz w:val="24"/>
          <w:szCs w:val="24"/>
        </w:rPr>
        <w:t xml:space="preserve">в дирекция “Контрол”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 </w:t>
      </w:r>
      <w:r>
        <w:rPr>
          <w:rFonts w:ascii="Times New Roman" w:eastAsia="Times New Roman" w:hAnsi="Times New Roman"/>
          <w:b/>
          <w:sz w:val="24"/>
          <w:szCs w:val="24"/>
        </w:rPr>
        <w:t>с място на работа в гр. Плевен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E51384" w:rsidRPr="009667BB" w:rsidRDefault="00E51384" w:rsidP="00E51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725"/>
        <w:gridCol w:w="2086"/>
        <w:gridCol w:w="1778"/>
      </w:tblGrid>
      <w:tr w:rsidR="00760453" w:rsidTr="00FE1770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53" w:rsidRDefault="00760453" w:rsidP="00FE17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53" w:rsidRDefault="00760453" w:rsidP="00FE17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53" w:rsidRDefault="00760453" w:rsidP="00FE17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7" w:firstLine="108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БРО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ТОЧКИ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53" w:rsidRDefault="00760453" w:rsidP="00FE17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РЕЗУЛТАТ = БР. ТОЧКИ х КОЕФ.3</w:t>
            </w:r>
          </w:p>
        </w:tc>
      </w:tr>
      <w:tr w:rsidR="00625446" w:rsidTr="0091576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46" w:rsidRDefault="00625446" w:rsidP="0062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46" w:rsidRPr="00625446" w:rsidRDefault="00625446" w:rsidP="0062544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Милен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Димитров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625446" w:rsidTr="0091576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46" w:rsidRDefault="00625446" w:rsidP="0062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46" w:rsidRPr="00625446" w:rsidRDefault="00625446" w:rsidP="0062544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Даниела</w:t>
            </w:r>
            <w:proofErr w:type="spellEnd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Асенова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625446" w:rsidTr="0091576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46" w:rsidRDefault="00625446" w:rsidP="0062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46" w:rsidRPr="00625446" w:rsidRDefault="00625446" w:rsidP="0062544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Калинка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Дунчева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42</w:t>
            </w:r>
          </w:p>
        </w:tc>
      </w:tr>
      <w:tr w:rsidR="00625446" w:rsidTr="0091576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46" w:rsidRDefault="00625446" w:rsidP="0062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46" w:rsidRPr="00625446" w:rsidRDefault="00625446" w:rsidP="0062544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Силвия</w:t>
            </w:r>
            <w:proofErr w:type="spellEnd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Бенова</w:t>
            </w:r>
            <w:proofErr w:type="spellEnd"/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 се явила</w:t>
            </w:r>
          </w:p>
        </w:tc>
      </w:tr>
      <w:tr w:rsidR="00625446" w:rsidTr="0091576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46" w:rsidRDefault="00625446" w:rsidP="00625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46" w:rsidRPr="00625446" w:rsidRDefault="00625446" w:rsidP="0062544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Гергана</w:t>
            </w:r>
            <w:proofErr w:type="spellEnd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Пацова</w:t>
            </w:r>
            <w:proofErr w:type="spellEnd"/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46" w:rsidRDefault="00625446" w:rsidP="006254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 се явила</w:t>
            </w:r>
          </w:p>
        </w:tc>
      </w:tr>
    </w:tbl>
    <w:p w:rsidR="00E51384" w:rsidRPr="009667BB" w:rsidRDefault="00E51384" w:rsidP="00E513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51384" w:rsidRDefault="00E51384" w:rsidP="00E5138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Въз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постигнатите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резултати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от теста и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обявения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с Протокол № 2/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sz w:val="24"/>
          <w:szCs w:val="24"/>
        </w:rPr>
        <w:t>02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9667BB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г. минимален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допускане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(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15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точки 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),  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Комисията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реши: 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Д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опуска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следни</w:t>
      </w:r>
      <w:proofErr w:type="spellEnd"/>
      <w:r w:rsidR="00E51384">
        <w:rPr>
          <w:rFonts w:ascii="Times New Roman" w:eastAsia="Times New Roman" w:hAnsi="Times New Roman"/>
          <w:b/>
          <w:sz w:val="24"/>
          <w:szCs w:val="24"/>
        </w:rPr>
        <w:t>ят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кандидат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4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"/>
        <w:gridCol w:w="4395"/>
      </w:tblGrid>
      <w:tr w:rsidR="00625446" w:rsidRPr="001024B0" w:rsidTr="006C6FF7">
        <w:trPr>
          <w:trHeight w:val="300"/>
          <w:jc w:val="center"/>
        </w:trPr>
        <w:tc>
          <w:tcPr>
            <w:tcW w:w="424" w:type="dxa"/>
          </w:tcPr>
          <w:p w:rsidR="00625446" w:rsidRDefault="00625446" w:rsidP="006254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5446" w:rsidRPr="00625446" w:rsidRDefault="00625446" w:rsidP="0062544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Милен </w:t>
            </w:r>
            <w:r w:rsidRPr="00625446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</w:t>
            </w:r>
            <w:r w:rsidRPr="0062544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Димитров</w:t>
            </w:r>
          </w:p>
        </w:tc>
      </w:tr>
    </w:tbl>
    <w:p w:rsidR="00C151F0" w:rsidRPr="009667BB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760453" w:rsidRDefault="00760453" w:rsidP="007604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Посоченият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кандидат,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съгласно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списъка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допуснати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кандидати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следва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да се яви на </w:t>
      </w:r>
      <w:r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.202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г. 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петък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от </w:t>
      </w:r>
      <w:r>
        <w:rPr>
          <w:rFonts w:ascii="Times New Roman" w:eastAsia="Times New Roman" w:hAnsi="Times New Roman"/>
          <w:b/>
          <w:sz w:val="24"/>
          <w:szCs w:val="24"/>
        </w:rPr>
        <w:t>14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0 часа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сградата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</w:t>
      </w:r>
      <w:r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район</w:t>
      </w:r>
      <w:r>
        <w:rPr>
          <w:rFonts w:ascii="Times New Roman" w:eastAsia="Times New Roman" w:hAnsi="Times New Roman"/>
          <w:sz w:val="24"/>
          <w:szCs w:val="24"/>
        </w:rPr>
        <w:t>”, гр.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Плевен, ул. </w:t>
      </w:r>
      <w:r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№ 60</w:t>
      </w:r>
      <w:r>
        <w:rPr>
          <w:rFonts w:ascii="Times New Roman" w:eastAsia="Times New Roman" w:hAnsi="Times New Roman"/>
          <w:sz w:val="24"/>
          <w:szCs w:val="24"/>
        </w:rPr>
        <w:t xml:space="preserve"> за провеждане на втората част от конкурса – интервю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E377DF" w:rsidRPr="00E377DF" w:rsidRDefault="00E377DF" w:rsidP="00E377D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377DF" w:rsidRPr="00493B5E" w:rsidRDefault="00E377DF" w:rsidP="00E377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:            </w:t>
      </w:r>
      <w:r w:rsidR="00493B5E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1E0E03" w:rsidRPr="001E0E03" w:rsidRDefault="00E377DF" w:rsidP="008705E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="00760453">
        <w:rPr>
          <w:rFonts w:ascii="Times New Roman" w:eastAsia="Times New Roman" w:hAnsi="Times New Roman"/>
          <w:sz w:val="24"/>
          <w:szCs w:val="24"/>
          <w:lang w:val="ru-RU"/>
        </w:rPr>
        <w:t>Румен Маринчев</w:t>
      </w:r>
    </w:p>
    <w:sectPr w:rsidR="001E0E03" w:rsidRPr="001E0E03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37" w:rsidRDefault="00D81C37" w:rsidP="00A201E4">
      <w:pPr>
        <w:spacing w:after="0" w:line="240" w:lineRule="auto"/>
      </w:pPr>
      <w:r>
        <w:separator/>
      </w:r>
    </w:p>
  </w:endnote>
  <w:endnote w:type="continuationSeparator" w:id="0">
    <w:p w:rsidR="00D81C37" w:rsidRDefault="00D81C37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493B5E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8705EF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493B5E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37" w:rsidRDefault="00D81C37" w:rsidP="00A201E4">
      <w:pPr>
        <w:spacing w:after="0" w:line="240" w:lineRule="auto"/>
      </w:pPr>
      <w:r>
        <w:separator/>
      </w:r>
    </w:p>
  </w:footnote>
  <w:footnote w:type="continuationSeparator" w:id="0">
    <w:p w:rsidR="00D81C37" w:rsidRDefault="00D81C37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9570A"/>
    <w:multiLevelType w:val="hybridMultilevel"/>
    <w:tmpl w:val="A80A21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4"/>
  </w:num>
  <w:num w:numId="9">
    <w:abstractNumId w:val="6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2857"/>
    <w:rsid w:val="000A3869"/>
    <w:rsid w:val="001E0E03"/>
    <w:rsid w:val="00206F45"/>
    <w:rsid w:val="00246D23"/>
    <w:rsid w:val="00250DDD"/>
    <w:rsid w:val="00263CA0"/>
    <w:rsid w:val="00264170"/>
    <w:rsid w:val="00270C45"/>
    <w:rsid w:val="00286F90"/>
    <w:rsid w:val="00293875"/>
    <w:rsid w:val="002C32C3"/>
    <w:rsid w:val="002C50BC"/>
    <w:rsid w:val="002D2ACB"/>
    <w:rsid w:val="003A336B"/>
    <w:rsid w:val="003C334D"/>
    <w:rsid w:val="00437BCB"/>
    <w:rsid w:val="0048764D"/>
    <w:rsid w:val="00493B5E"/>
    <w:rsid w:val="004B793D"/>
    <w:rsid w:val="004F528B"/>
    <w:rsid w:val="005D340B"/>
    <w:rsid w:val="00617E1D"/>
    <w:rsid w:val="00625446"/>
    <w:rsid w:val="00674CCC"/>
    <w:rsid w:val="00690C18"/>
    <w:rsid w:val="006E2AB0"/>
    <w:rsid w:val="00760453"/>
    <w:rsid w:val="00761111"/>
    <w:rsid w:val="007D7DAD"/>
    <w:rsid w:val="007F4A40"/>
    <w:rsid w:val="00822823"/>
    <w:rsid w:val="00845220"/>
    <w:rsid w:val="008705EF"/>
    <w:rsid w:val="008D0728"/>
    <w:rsid w:val="008D7545"/>
    <w:rsid w:val="008F683F"/>
    <w:rsid w:val="00900DB3"/>
    <w:rsid w:val="00957DED"/>
    <w:rsid w:val="00970456"/>
    <w:rsid w:val="00970B99"/>
    <w:rsid w:val="009A15DE"/>
    <w:rsid w:val="009E4C41"/>
    <w:rsid w:val="00A201E4"/>
    <w:rsid w:val="00A21658"/>
    <w:rsid w:val="00A4270A"/>
    <w:rsid w:val="00A53DA9"/>
    <w:rsid w:val="00A55A58"/>
    <w:rsid w:val="00A86A77"/>
    <w:rsid w:val="00A90B8E"/>
    <w:rsid w:val="00AE60EE"/>
    <w:rsid w:val="00B01F58"/>
    <w:rsid w:val="00C016D0"/>
    <w:rsid w:val="00C151F0"/>
    <w:rsid w:val="00C17BFA"/>
    <w:rsid w:val="00CD01E6"/>
    <w:rsid w:val="00CE731D"/>
    <w:rsid w:val="00CF4200"/>
    <w:rsid w:val="00D2164A"/>
    <w:rsid w:val="00D52FF1"/>
    <w:rsid w:val="00D81C37"/>
    <w:rsid w:val="00DA4763"/>
    <w:rsid w:val="00DA4A85"/>
    <w:rsid w:val="00DC0C6B"/>
    <w:rsid w:val="00E02FBC"/>
    <w:rsid w:val="00E21941"/>
    <w:rsid w:val="00E377DF"/>
    <w:rsid w:val="00E51384"/>
    <w:rsid w:val="00ED1078"/>
    <w:rsid w:val="00EF5231"/>
    <w:rsid w:val="00F131CE"/>
    <w:rsid w:val="00F14589"/>
    <w:rsid w:val="00F239C4"/>
    <w:rsid w:val="00F67D28"/>
    <w:rsid w:val="00F84186"/>
    <w:rsid w:val="00FB36E2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D658D8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2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4365-896E-4FE1-A828-908B14E4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2026-02-16T09:35:00Z</cp:lastPrinted>
  <dcterms:created xsi:type="dcterms:W3CDTF">2026-02-20T09:27:00Z</dcterms:created>
  <dcterms:modified xsi:type="dcterms:W3CDTF">2026-02-20T09:39:00Z</dcterms:modified>
</cp:coreProperties>
</file>